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8D" w:rsidRPr="003C1F77" w:rsidRDefault="00E7558D">
      <w:pPr>
        <w:jc w:val="center"/>
        <w:rPr>
          <w:color w:val="C9211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Алгоритм действий</w:t>
      </w:r>
    </w:p>
    <w:p w:rsidR="00E7558D" w:rsidRPr="003C1F77" w:rsidRDefault="00E7558D">
      <w:pPr>
        <w:ind w:right="-397"/>
        <w:jc w:val="center"/>
        <w:rPr>
          <w:b/>
          <w:bCs/>
          <w:color w:val="C9211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должностных лиц и персонала образовательной организации при получении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сообщений (телефонных), содержащих угрозы террористического характера</w:t>
      </w:r>
    </w:p>
    <w:p w:rsidR="00E7558D" w:rsidRPr="003C1F77" w:rsidRDefault="00E7558D">
      <w:pPr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записывающего устройства, записать разговор. Постараться сразу дать знать об этой угрозе руководителю ОО, своему коллеге, по возможности одновременно с разговором он должен по другому аппарату сообщить оперативному дежурному полиции о поступившей угрозе и номер телефона, по которому позвонил предполагаемый террорист.</w:t>
      </w:r>
    </w:p>
    <w:p w:rsidR="00E7558D" w:rsidRPr="003C1F77" w:rsidRDefault="00E7558D">
      <w:pPr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При принятии сообщения будьте спокойны, вежливы, не прерывайте говорящего. Включите записывающее устройство {при наличии). Сошлитесь на некачественную работу аппарата, чтобы полностью записать разговор и затянуть его.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По ходу разговора отметьте пол, возраста звонившего и особенности его (ее) речи: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ind w:firstLine="90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голос: громкий (тихий), низкий (высокий);</w:t>
      </w:r>
    </w:p>
    <w:p w:rsidR="00E7558D" w:rsidRPr="003C1F77" w:rsidRDefault="00E7558D">
      <w:pPr>
        <w:ind w:firstLine="90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темп речи: быстрая (медленная);</w:t>
      </w:r>
    </w:p>
    <w:p w:rsidR="00E7558D" w:rsidRPr="003C1F77" w:rsidRDefault="00E7558D">
      <w:pPr>
        <w:ind w:firstLine="90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произношение: отчетливое, искаженное, с заиканием, шепелявое, с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акцентом или диалектом;</w:t>
      </w:r>
    </w:p>
    <w:p w:rsidR="00E7558D" w:rsidRPr="003C1F77" w:rsidRDefault="00E7558D">
      <w:pPr>
        <w:ind w:firstLine="850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манера речи: развязная, с издевкой, с нецензурными выражениями,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Обязательно отметьте звуковой фон (шум автомашин или железнодорожного транспорта, звуки теле - или радиоаппаратуры, голоса, другое).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Обязательно зафиксируйте точное время начала разговора и его продолжительность.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В любом случае постарайтесь в ходе разговора получить ответы на следующие вопросы: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ind w:firstLine="510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куда, кому, по какому телефону звонит этот человек?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какие конкретные требования он (она) выдвигает?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выдвигает требования он (она) лично, выступает в роли посредника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или представляет какую-либо группу лиц?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на каких условиях он (она) или они согласны отказаться от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задуманного?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как и когда с ним (</w:t>
      </w:r>
      <w:r>
        <w:rPr>
          <w:rFonts w:ascii="Bookman Old Style" w:hAnsi="Bookman Old Style"/>
          <w:lang w:val="ru-RU"/>
        </w:rPr>
        <w:t>с</w:t>
      </w:r>
      <w:r w:rsidRPr="003C1F77">
        <w:rPr>
          <w:rFonts w:ascii="Bookman Old Style" w:hAnsi="Bookman Old Style"/>
          <w:lang w:val="ru-RU"/>
        </w:rPr>
        <w:t xml:space="preserve"> ней) можно связаться?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кому вы можете или должны сообщить об этом звонке?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когда может быть проведен взрыв?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где заложено взрывное устройство?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что оно из себя представляет?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как оно выглядит внешне?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есть ли еще где-нибудь взрывное устройство?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для чего заложено взрывное устройство?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каковы ваши требования?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lang w:val="ru-RU"/>
        </w:rPr>
        <w:br w:type="page"/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b/>
          <w:bCs/>
          <w:color w:val="C9211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Алгоритм действий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при обращении с анонимными материалами, содержащими угрозы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террористического характера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2. Постарайтесь не оставлять на нём отпечатков своих пальцев.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3. 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4. Сохраняйте всё: документ с текстом, любые вложения, конверт и упаковку, ничего не выбрасывайте.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5. Не расширяйте круг лиц, знакомившихся с содержанием документа.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6. Сообщите руководителю ОО, в дежурную часть полиции. Анонимные материалы передайте в правоохранительные органы с сопроводительным письмом, в котором укажите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</w:t>
      </w:r>
      <w:r>
        <w:rPr>
          <w:rFonts w:ascii="Bookman Old Style" w:hAnsi="Bookman Old Style"/>
          <w:lang w:val="ru-RU"/>
        </w:rPr>
        <w:t xml:space="preserve"> с </w:t>
      </w:r>
      <w:r w:rsidRPr="003C1F77">
        <w:rPr>
          <w:rFonts w:ascii="Bookman Old Style" w:hAnsi="Bookman Old Style"/>
          <w:lang w:val="ru-RU"/>
        </w:rPr>
        <w:t>их распространением, обнаружением и получением.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center"/>
        <w:rPr>
          <w:b/>
          <w:bCs/>
          <w:lang w:val="ru-RU"/>
        </w:rPr>
      </w:pPr>
      <w:r w:rsidRPr="003C1F77">
        <w:rPr>
          <w:rFonts w:ascii="Bookman Old Style" w:hAnsi="Bookman Old Style"/>
          <w:b/>
          <w:bCs/>
          <w:lang w:val="ru-RU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Некоторые характерные черты писем (бандеролей), которые должны удвоить подозрительность, включают: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— вы не ожидали этих писем от кого-то, кого вы знаете;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— адресованы кому-либо, кто уже не работает в вашей организации, или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имеют ещё какие-то неточности в адресе;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— не имеют обратного адреса или имеют неправильный обратный адрес;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— необычны по весу, размеру, кривые по бокам или необычны по форме;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— помечены ограничениями типа «Лично» и «Конфиденциально»;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в конвертах прощупывается (или торчат) проводки, конверты имеют странный запах или цвет;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— почтовая марка на конверте не соответствует городу и государству в обратном адресе.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lang w:val="ru-RU"/>
        </w:rPr>
        <w:t>Что делать, если вы получили подозрительное письмо по почте: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не вскрывайте конверт;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положите его в пластиковый пакет;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— положите туда же лежащие в непосредственной близости с письмом предметы.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lang w:val="ru-RU"/>
        </w:rPr>
        <w:t>При получении почты, подозрительной в отношении сибирской язвы:</w:t>
      </w:r>
    </w:p>
    <w:p w:rsidR="00E7558D" w:rsidRPr="003C1F77" w:rsidRDefault="00E7558D">
      <w:pPr>
        <w:jc w:val="center"/>
        <w:rPr>
          <w:rFonts w:ascii="Bookman Old Style" w:hAnsi="Bookman Old Style"/>
          <w:b/>
          <w:bCs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 не брать в руки подозрительное письмо или бандероль: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сообщить об этом факте руководителю ОО, который немедленно свяжется с соответствующими службами;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— 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— </w:t>
      </w:r>
      <w:r>
        <w:rPr>
          <w:rFonts w:ascii="Bookman Old Style" w:hAnsi="Bookman Old Style"/>
          <w:lang w:val="ru-RU"/>
        </w:rPr>
        <w:t>у</w:t>
      </w:r>
      <w:r w:rsidRPr="003C1F77">
        <w:rPr>
          <w:rFonts w:ascii="Bookman Old Style" w:hAnsi="Bookman Old Style"/>
          <w:lang w:val="ru-RU"/>
        </w:rPr>
        <w:t>бедиться, что все, кто трогал письмо (бандероль), вымыли руки водой с мылом;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— как можно быстрее вымыться под душем с мылом.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lang w:val="ru-RU"/>
        </w:rPr>
        <w:br w:type="page"/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Алгоритм действий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при обнаружении взрывного устройства в почтовом отправлении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Основные признаки: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толщина письма от 3-х мм и выше, при этом в конверте (пакете, бандероли) есть отдельные утолщения;</w:t>
      </w:r>
    </w:p>
    <w:p w:rsidR="00E7558D" w:rsidRPr="003C1F77" w:rsidRDefault="00E7558D">
      <w:pPr>
        <w:ind w:firstLine="510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— смещение центра тяжести письма к одной из его сторон;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наличие в конверте перемещающихся предметов либо порошка:</w:t>
      </w:r>
    </w:p>
    <w:p w:rsidR="00E7558D" w:rsidRPr="003C1F77" w:rsidRDefault="00E7558D">
      <w:pPr>
        <w:ind w:firstLine="510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— наличие во вложении металлических либо пластмассовых предметов;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наличие на конверте масляных пятен, проколов, металлических кнопок, полосок и т.д.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— наличие необычного запаха (миндаля, жжёной пластмассы и др.);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— «тиканье» в бандеролях и посылках.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Всё это позволяет предполагать наличие в отправлении взрывной начинки.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К числу вспомогательных признаков следует отнести: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— особо тщательную заделку письма, бандероли, посылки, в том числе скотчем;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— наличие подписей «лично в руки», «вскрыть только лично», «вручить лично», «секретно», «только вам» и т.п.;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— отсутствие обратного адреса, фамилии, неразборчивое их написание, вымышленный адрес;</w:t>
      </w: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      — нестандартная упаковка.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b/>
          <w:bCs/>
          <w:lang w:val="ru-RU"/>
        </w:rPr>
      </w:pPr>
      <w:r w:rsidRPr="003C1F77">
        <w:rPr>
          <w:rFonts w:ascii="Bookman Old Style" w:hAnsi="Bookman Old Style"/>
          <w:b/>
          <w:bCs/>
          <w:lang w:val="ru-RU"/>
        </w:rPr>
        <w:t>Порядок действий: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объекта, руководителя (дежурную часть полиции}. Сообщите точный адрес, телефон, фамилию, имя, отчество.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2. До прибытия сотрудников оперативно-следственных органов, МЧС, пожарных принять меры к эвакуации находящихся на объекте людей (по решению руководителя организации), ограждению объекта и недопущению к нему людей на расстояние, рекомендуемое для зоны эвакуации и оцепления при обнаружении взрывного устройства или предмета, подозрительного на взрывное устройство.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3. По прибытии специалистов по обнаружению ВУ действовать в соответствии с их указаниями.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lang w:val="ru-RU"/>
        </w:rPr>
        <w:br w:type="page"/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color w:val="C9211E"/>
          <w:lang w:val="ru-RU"/>
        </w:rPr>
      </w:pP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Алгоритм действий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при обнаружении подозрительного предмета похожего на взрывное</w:t>
      </w:r>
    </w:p>
    <w:p w:rsidR="00E7558D" w:rsidRPr="003C1F77" w:rsidRDefault="00E7558D">
      <w:pPr>
        <w:jc w:val="center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устройство или зажигательный механизм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b/>
          <w:bCs/>
          <w:color w:val="C9211E"/>
          <w:lang w:val="ru-RU"/>
        </w:rPr>
        <w:t>1. Категорически запрещается: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трогать или осуществлять какие-либо действия с обнаруженным подозрительным предметом;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заливать какими-либо жидкостями;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засыпать грунтом и накрывать различными материалами;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пользоваться электро-, радиоаппаратурой рядом с предметом;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оказывать температурное, звуковое, механическое, электромагнитное воздействие на подозрительный предмет;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изменять существующее освещение и пользоваться фотовспышкой;</w:t>
      </w:r>
    </w:p>
    <w:p w:rsidR="00E7558D" w:rsidRPr="003C1F77" w:rsidRDefault="00E7558D">
      <w:pPr>
        <w:ind w:firstLine="567"/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>— курить, использовать средства мобильной связи рядом с данным предметом.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lang w:val="ru-RU"/>
        </w:rPr>
      </w:pPr>
      <w:r w:rsidRPr="003C1F77">
        <w:rPr>
          <w:rFonts w:ascii="Bookman Old Style" w:hAnsi="Bookman Old Style"/>
          <w:lang w:val="ru-RU"/>
        </w:rPr>
        <w:t xml:space="preserve">     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2. Немедленно сообщить об обнаружении подозрительного предмета в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компетентные органы, руководителю образовательной организации.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3. Зафиксировать время и место обнаружения.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4. Освободить от людей опасную зону в радиусе не менее 100 метров,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силами сотрудников организации выставить оцепление.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5. Ограничить доступ посторонних лиц к объекту, в случае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необходимости ограничить движение транспортных средств на прилегающих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автомобильных дорогах, трассах и обеспечить объездные пути. Не позволять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никому, кроме работников оперативных и спасательных служб,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приближаться к объекту или уносить какие-либо предметы.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6. По возможности обеспечить охрану места обнаружения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подозрительного предмета и опасной зоны до прибытия сотрудников МВД,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ФСБ, вневедомственной охраны, специалистов ГО и ЧС, и, в дальнейшем</w:t>
      </w:r>
      <w:r>
        <w:rPr>
          <w:rFonts w:ascii="Bookman Old Style" w:hAnsi="Bookman Old Style"/>
          <w:lang w:val="ru-RU"/>
        </w:rPr>
        <w:t xml:space="preserve"> доложить и</w:t>
      </w:r>
      <w:r w:rsidRPr="003C1F77">
        <w:rPr>
          <w:rFonts w:ascii="Bookman Old Style" w:hAnsi="Bookman Old Style"/>
          <w:lang w:val="ru-RU"/>
        </w:rPr>
        <w:t>м об известных обстоятельствах происшествия, предпринятых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мерах;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7. Выяснить полную информацию о количестве занятых на объекте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людей, присутствии лиц, непосредственно не занятых на объекте,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находящихся там иностранцах;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8. Необходимо уточнить наличие и места складирования ядовитых,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химических, взрывчатых, горючих, радиоактивных веществ и жидкостей.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9. Необходимо обеспечить эвакуацию людей и материальных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ценностей с территории, прилегающей к опасной зоне; отключить газовые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магистрали с целью сведения к минимуму повреждений в случае взрыва.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Когда угрозы о взрыве объекта однотипны и неоднократны, нельзя снижать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степень серьезного отношения к ним.</w:t>
      </w:r>
    </w:p>
    <w:p w:rsidR="00E7558D" w:rsidRDefault="00E7558D">
      <w:pPr>
        <w:jc w:val="both"/>
        <w:rPr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10. Если решение об эвакуации принято, то требования о немедленном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освобождении помещений доводятся до всех заинтересованных лиц. При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этом в Целях избежание паники необходимо не объявлять об истинной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причине эвакуации, а провести ее под видом учений и др.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</w:t>
      </w:r>
      <w:r>
        <w:rPr>
          <w:rFonts w:ascii="Bookman Old Style" w:hAnsi="Bookman Old Style"/>
          <w:lang w:val="ru-RU"/>
        </w:rPr>
        <w:t>1</w:t>
      </w:r>
      <w:r w:rsidRPr="003C1F77">
        <w:rPr>
          <w:rFonts w:ascii="Bookman Old Style" w:hAnsi="Bookman Old Style"/>
          <w:lang w:val="ru-RU"/>
        </w:rPr>
        <w:t>. Создать условия для беспрепятственного проезда транспортных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средств спецслужб к месту возникновения чрезвычайных обстоятельств.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12. По прибытии представителей силовых структур указать место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расположения подозрительного предмета, время и обстоятельства его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обнаружения.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13. Далее действовать по указанию представителей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правоохранительных органов.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14. Не сообщать об угрозе взрыва никому, кроме тех, кому необходимо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знать о случившемся, чтобы не создавать паники.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15. Проинструктировать персонал организации (учреждения) о том, что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запрещается принимать на хранение от посторонних лиц какие-либо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предметы и вещи.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16. Быть готовым описать внешний вид предмета, похожего на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взрывное устройство.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</w:t>
      </w:r>
      <w:r w:rsidRPr="003C1F77">
        <w:rPr>
          <w:rFonts w:ascii="Bookman Old Style" w:hAnsi="Bookman Old Style"/>
          <w:lang w:val="ru-RU"/>
        </w:rPr>
        <w:t>Предмет может иметь любой вид: сумка, свёрток, пакет и т. п.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Находится, как правило, в месте возможного присутствия большого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количества людей, вблизи взрывоопасных (пожароопасных) мест,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расположения различного рода коммуникаций. Также по своему внешнему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виду он может быть похож на взрывное устройство (граната, мина, снаряд 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т. п.): торчащие проводки, верёвочки, изоляционная лента, скотч, слышимый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ход часового механизма, механическое жужжание, другие звуки, запах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миндаля или другой незнакомый запах,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</w:t>
      </w:r>
      <w:r w:rsidRPr="003C1F77">
        <w:rPr>
          <w:rFonts w:ascii="Bookman Old Style" w:hAnsi="Bookman Old Style"/>
          <w:lang w:val="ru-RU"/>
        </w:rPr>
        <w:t>При охране подозрительного предмета по возможности находиться за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предметами, обеспечивающими защиту (угол здания, колонна, толстое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дерево, автомашина ит. д.), вести наблюдение.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b/>
          <w:lang w:val="ru-RU"/>
        </w:rPr>
        <w:t xml:space="preserve">Категорически запрещается </w:t>
      </w:r>
      <w:r w:rsidRPr="003C1F77">
        <w:rPr>
          <w:rFonts w:ascii="Bookman Old Style" w:hAnsi="Bookman Old Style"/>
          <w:lang w:val="ru-RU"/>
        </w:rPr>
        <w:t>трогать и перемещать подозрительные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предметы, веши, оборванные электрические провода, технологическое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оборудование, входить в грозящие обрушением здания, спускаться в подвалы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и канализационные коммуникации, пользоваться электро-,</w:t>
      </w:r>
      <w:r>
        <w:rPr>
          <w:rFonts w:ascii="Bookman Old Style" w:hAnsi="Bookman Old Style"/>
          <w:lang w:val="ru-RU"/>
        </w:rPr>
        <w:t xml:space="preserve"> радиоапп</w:t>
      </w:r>
      <w:r w:rsidRPr="003C1F77">
        <w:rPr>
          <w:rFonts w:ascii="Bookman Old Style" w:hAnsi="Bookman Old Style"/>
          <w:lang w:val="ru-RU"/>
        </w:rPr>
        <w:t>аратурой, оказывать  температурное, звуковое, — световое,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механическое, электромагнитное и прочие воздействия на предметы,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вещества и т.д.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lang w:val="ru-RU"/>
        </w:rPr>
        <w:br w:type="page"/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lang w:val="ru-RU"/>
        </w:rPr>
        <w:t>Порядок информирования об угрозе совершения или о совершении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террористического акта на объектах (территориях) и реагирования лиц,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ответственных за обеспечение антитеррористической защищенности объекта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(территории), на полученную информацию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lang w:val="ru-RU"/>
        </w:rPr>
        <w:t>При обнаружении угрозы совершения террористического акта на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объекте (территории), получении информации (в том числе анонимной) об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угрозе совершения или о совершении террористического акта на объекте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(территории) должностное лицо, осуществляющее непосредственное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руководство деятельностью работников объекта (территории)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(уполномоченное им лицо), незамедлительно информирует об этом с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помощью любых доступных средств связи территориальный орган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безопасности, территориальный орган Федеральной службы войск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национально</w:t>
      </w:r>
      <w:r>
        <w:rPr>
          <w:rFonts w:ascii="Bookman Old Style" w:hAnsi="Bookman Old Style"/>
          <w:lang w:val="ru-RU"/>
        </w:rPr>
        <w:t>й гвардии Российской Федерации (</w:t>
      </w:r>
      <w:r w:rsidRPr="003C1F77">
        <w:rPr>
          <w:rFonts w:ascii="Bookman Old Style" w:hAnsi="Bookman Old Style"/>
          <w:lang w:val="ru-RU"/>
        </w:rPr>
        <w:t>подразделения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вневедомственной охраны войск национальной гвардии Российской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Федерации), территориальный орган Министерства внутренних дел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Российской Федерации и территориальный орган Министерства Российской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Федерации по делам гражданской обороны, чрезвычайным ситуациям 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ликвидации последствий стихийных бедствий по месту нахождения объекта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(территории), а также муниципальный орган управления в сфере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образования, министерство образования Оренбургской области.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</w:t>
      </w:r>
      <w:r w:rsidRPr="003C1F77">
        <w:rPr>
          <w:rFonts w:ascii="Bookman Old Style" w:hAnsi="Bookman Old Style"/>
          <w:lang w:val="ru-RU"/>
        </w:rPr>
        <w:t>Работники органа (организации), являющегося правообладателем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объекта (территории), при получении информации (в том числе анонимной)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 угрозе совершения террористического акта на объекте (территории)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обязаны незамедлительно сообщить указанную информацию должностному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лицу, осуществляющему непосредственное руководство деятельностью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работников объекта (территории), или уполномоченному им лицу.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</w:t>
      </w:r>
      <w:r w:rsidRPr="003C1F77">
        <w:rPr>
          <w:rFonts w:ascii="Bookman Old Style" w:hAnsi="Bookman Old Style"/>
          <w:lang w:val="ru-RU"/>
        </w:rPr>
        <w:t>При направлении информации об угрозе совершения или о совершении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террористического акта на объекте (территории) лицо, передающее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указанную информацию с помощью средств связи, сообщает: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 w:rsidP="003C1F77">
      <w:pPr>
        <w:ind w:firstLine="540"/>
        <w:jc w:val="both"/>
        <w:rPr>
          <w:rFonts w:ascii="Bookman Old Style" w:hAnsi="Bookman Old Style"/>
          <w:lang w:val="ru-RU"/>
        </w:rPr>
      </w:pPr>
      <w:r w:rsidRPr="003C1F77">
        <w:rPr>
          <w:rFonts w:ascii="Bookman Old Style" w:hAnsi="Bookman Old Style"/>
          <w:lang w:val="ru-RU"/>
        </w:rPr>
        <w:t>а) свою фамилию, имя, отчество (при наличии) и занимаемую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должность;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6) наименование объекта (территории) и его точный адрес;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в) дату и время получения информации об угрозе совершения или 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совершении террористического акта на объекте (территории);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г) характер информации об угрозе совершения террористического акта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или характер совершенного террористического акта;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 xml:space="preserve">д) количество находящихся на объекте </w:t>
      </w:r>
      <w:r>
        <w:rPr>
          <w:rFonts w:ascii="Bookman Old Style" w:hAnsi="Bookman Old Style"/>
          <w:lang w:val="ru-RU"/>
        </w:rPr>
        <w:t>(</w:t>
      </w:r>
      <w:r w:rsidRPr="003C1F77">
        <w:rPr>
          <w:rFonts w:ascii="Bookman Old Style" w:hAnsi="Bookman Old Style"/>
          <w:lang w:val="ru-RU"/>
        </w:rPr>
        <w:t>территории</w:t>
      </w:r>
      <w:r>
        <w:rPr>
          <w:rFonts w:ascii="Bookman Old Style" w:hAnsi="Bookman Old Style"/>
          <w:lang w:val="ru-RU"/>
        </w:rPr>
        <w:t>)</w:t>
      </w:r>
      <w:r w:rsidRPr="003C1F77">
        <w:rPr>
          <w:rFonts w:ascii="Bookman Old Style" w:hAnsi="Bookman Old Style"/>
          <w:lang w:val="ru-RU"/>
        </w:rPr>
        <w:t xml:space="preserve"> людей;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е) другие значимые сведения по запросу территориального органа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безопасности, территориального органа Федеральной службы войск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национальной гвардии Российской Федерации (подразделения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вневедомственной охраны войск национальной гвардии Российской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Федерации), территориального органа Министерства внутренних дел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Российской Федерации и территориального органа Министерства Российской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Федерации по делам гражданской обороны, чрезвычайным ситуациям 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ликвидации последствий стихийных бедствий.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 w:rsidRPr="003C1F77">
        <w:rPr>
          <w:lang w:val="ru-RU"/>
        </w:rPr>
        <w:br w:type="page"/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lang w:val="ru-RU"/>
        </w:rPr>
        <w:t>Лицо, передавшее информацию об угрозе совершения или 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совершении террористического акта, фиксирует (записывает) фамилию, имя,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отчество (при наличии), занимаемую должность лица, принявшего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информацию, а также дату и время ее передачи.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lang w:val="ru-RU"/>
        </w:rPr>
        <w:t>При направлении такой информации с использованием средств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факсимильной связи лицо, передающее информацию, удостоверяет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сообщение своей подписью.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</w:t>
      </w:r>
      <w:r w:rsidRPr="003C1F77">
        <w:rPr>
          <w:rFonts w:ascii="Bookman Old Style" w:hAnsi="Bookman Old Style"/>
          <w:lang w:val="ru-RU"/>
        </w:rPr>
        <w:t>Должностное лицо, осуществляющее непосредственное руководство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деятельностью работников на объекте (территории) (лицо, его замещающее),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при обнаружении угрозы совершения террористического акта на объекте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(территории) или получении информации об угрозе совершения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террористического акта на объекте (территории) обеспечивает: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а) оповещение работников, обучающихся и иных лиц, находящихся на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объекте (территории), об угрозе совершения террористического акта;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</w:t>
      </w:r>
      <w:r w:rsidRPr="003C1F77">
        <w:rPr>
          <w:rFonts w:ascii="Bookman Old Style" w:hAnsi="Bookman Old Style"/>
          <w:lang w:val="ru-RU"/>
        </w:rPr>
        <w:t>6) безопасную и беспрепятственную эвакуацию работников,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обучающихся и иных лиц, находящихся на объекте (территории);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</w:t>
      </w:r>
      <w:r w:rsidRPr="003C1F77">
        <w:rPr>
          <w:rFonts w:ascii="Bookman Old Style" w:hAnsi="Bookman Old Style"/>
          <w:lang w:val="ru-RU"/>
        </w:rPr>
        <w:t>в) усиление охраны и контроля пропускного и внутриобъектового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режимов, а также прекращение доступа людей и транспортных средств на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объект (территорию</w:t>
      </w:r>
      <w:r>
        <w:rPr>
          <w:rFonts w:ascii="Bookman Old Style" w:hAnsi="Bookman Old Style"/>
          <w:lang w:val="ru-RU"/>
        </w:rPr>
        <w:t>)</w:t>
      </w:r>
      <w:r w:rsidRPr="003C1F77">
        <w:rPr>
          <w:rFonts w:ascii="Bookman Old Style" w:hAnsi="Bookman Old Style"/>
          <w:lang w:val="ru-RU"/>
        </w:rPr>
        <w:t>;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г</w:t>
      </w:r>
      <w:r w:rsidRPr="003C1F77">
        <w:rPr>
          <w:rFonts w:ascii="Bookman Old Style" w:hAnsi="Bookman Old Style"/>
          <w:lang w:val="ru-RU"/>
        </w:rPr>
        <w:t>) беспрепятственный доступ на объект (территорию) оперативных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подразделений территориальных органов безопасности, территориальных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органов Министерства внутренних дел Российской Федерации,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территориальных органов Федеральной службы войск национальной гвардии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Российской Федерации (подразделений вневедомственной охраны войск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национальной гвардии Российской Федерации) и территориальных органов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Российской Федерации по делам гражданской обороны,</w:t>
      </w:r>
      <w:r>
        <w:rPr>
          <w:rFonts w:ascii="Bookman Old Style" w:hAnsi="Bookman Old Style"/>
          <w:lang w:val="ru-RU"/>
        </w:rPr>
        <w:t xml:space="preserve"> </w:t>
      </w:r>
      <w:r w:rsidRPr="003C1F77">
        <w:rPr>
          <w:rFonts w:ascii="Bookman Old Style" w:hAnsi="Bookman Old Style"/>
          <w:lang w:val="ru-RU"/>
        </w:rPr>
        <w:t>чрезвычайным ситуациям и ликвидации последствий стихийных бедствий.</w:t>
      </w:r>
    </w:p>
    <w:p w:rsidR="00E7558D" w:rsidRPr="003C1F77" w:rsidRDefault="00E7558D">
      <w:pPr>
        <w:jc w:val="both"/>
        <w:rPr>
          <w:rFonts w:ascii="Bookman Old Style" w:hAnsi="Bookman Old Style"/>
          <w:lang w:val="ru-RU"/>
        </w:rPr>
      </w:pPr>
    </w:p>
    <w:sectPr w:rsidR="00E7558D" w:rsidRPr="003C1F77" w:rsidSect="000202F6">
      <w:pgSz w:w="12240" w:h="15840"/>
      <w:pgMar w:top="480" w:right="1134" w:bottom="675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61"/>
    <w:rsid w:val="000202F6"/>
    <w:rsid w:val="003C1F77"/>
    <w:rsid w:val="00C20BD8"/>
    <w:rsid w:val="00E7558D"/>
    <w:rsid w:val="00F3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873"/>
    <w:rPr>
      <w:rFonts w:cs="Mangal"/>
      <w:sz w:val="24"/>
      <w:szCs w:val="21"/>
      <w:lang w:val="en-US"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pPr>
      <w:suppressLineNumbers/>
    </w:pPr>
  </w:style>
  <w:style w:type="paragraph" w:customStyle="1" w:styleId="a0">
    <w:name w:val="Текст в заданном формате"/>
    <w:basedOn w:val="Normal"/>
    <w:uiPriority w:val="99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8</Pages>
  <Words>2396</Words>
  <Characters>13661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</cp:lastModifiedBy>
  <cp:revision>3</cp:revision>
  <cp:lastPrinted>2020-07-30T03:53:00Z</cp:lastPrinted>
  <dcterms:created xsi:type="dcterms:W3CDTF">2020-07-30T03:42:00Z</dcterms:created>
  <dcterms:modified xsi:type="dcterms:W3CDTF">2020-07-30T03:56:00Z</dcterms:modified>
</cp:coreProperties>
</file>